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kern w:val="0"/>
          <w:sz w:val="36"/>
          <w:szCs w:val="36"/>
          <w:shd w:val="clear" w:fill="FFFFFF"/>
          <w:lang w:val="en-US" w:eastAsia="zh-CN" w:bidi="ar"/>
        </w:rPr>
        <w:t>非公开发行公司债券项目承接负面清单指引</w:t>
      </w:r>
    </w:p>
    <w:p>
      <w:pPr>
        <w:pStyle w:val="2"/>
        <w:keepNext w:val="0"/>
        <w:keepLines w:val="0"/>
        <w:widowControl/>
        <w:suppressLineNumbers w:val="0"/>
        <w:wordWrap w:val="0"/>
        <w:spacing w:line="330" w:lineRule="atLeast"/>
        <w:jc w:val="center"/>
        <w:rPr>
          <w:rFonts w:hint="eastAsia" w:ascii="仿宋" w:hAnsi="仿宋" w:eastAsia="仿宋" w:cs="仿宋"/>
          <w:b w:val="0"/>
          <w:bCs/>
          <w:sz w:val="21"/>
          <w:szCs w:val="21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2015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4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17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日第五届常务理事会第三十四次会议表决通过，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 2015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4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en-US"/>
        </w:rPr>
        <w:t>23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日发布）</w:t>
      </w:r>
    </w:p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315" w:lineRule="atLeast"/>
        <w:ind w:left="0" w:right="105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FF0000"/>
          <w:spacing w:val="0"/>
          <w:kern w:val="0"/>
          <w:sz w:val="30"/>
          <w:szCs w:val="3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wordWrap w:val="0"/>
        <w:spacing w:before="120" w:beforeAutospacing="0" w:after="120" w:afterAutospacing="0" w:line="315" w:lineRule="atLeast"/>
        <w:ind w:left="0" w:right="0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第一条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为做好非公开发行公司债券的承销业务风险控制管理工作，根据《公司债券发行与交易管理办法》等相关法律法规及自律规则，制定本指引。</w:t>
      </w:r>
    </w:p>
    <w:p>
      <w:pPr>
        <w:keepNext w:val="0"/>
        <w:keepLines w:val="0"/>
        <w:widowControl/>
        <w:suppressLineNumbers w:val="0"/>
        <w:wordWrap w:val="0"/>
        <w:spacing w:before="120" w:beforeAutospacing="0" w:after="120" w:afterAutospacing="0" w:line="315" w:lineRule="atLeast"/>
        <w:ind w:left="0" w:right="0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第二条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非公开发行公司债券项目承接实行负面清单管理。承销机构项目承接不得涉及负面清单限制的范围。</w:t>
      </w:r>
    </w:p>
    <w:p>
      <w:pPr>
        <w:keepNext w:val="0"/>
        <w:keepLines w:val="0"/>
        <w:widowControl/>
        <w:suppressLineNumbers w:val="0"/>
        <w:wordWrap w:val="0"/>
        <w:spacing w:before="120" w:beforeAutospacing="0" w:after="120" w:afterAutospacing="0" w:line="315" w:lineRule="atLeast"/>
        <w:ind w:left="0" w:right="0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第三条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中国证券业协会(以下简称协会)负责组织研究确定并在协会网站发布负面清单。</w:t>
      </w:r>
    </w:p>
    <w:p>
      <w:pPr>
        <w:keepNext w:val="0"/>
        <w:keepLines w:val="0"/>
        <w:widowControl/>
        <w:suppressLineNumbers w:val="0"/>
        <w:wordWrap w:val="0"/>
        <w:spacing w:before="50" w:beforeAutospacing="0" w:after="50" w:afterAutospacing="0" w:line="315" w:lineRule="atLeast"/>
        <w:ind w:left="0" w:right="105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第四条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协会可以邀请相关主管部门、证券交易场所、证券公司及其他行业专家成立负面清单评估专家小组，至少每半年对负面清单进行一次评估，可以根据业务发展与监管需要不定期进行评估。</w:t>
      </w:r>
    </w:p>
    <w:p>
      <w:pPr>
        <w:keepNext w:val="0"/>
        <w:keepLines w:val="0"/>
        <w:widowControl/>
        <w:suppressLineNumbers w:val="0"/>
        <w:wordWrap w:val="0"/>
        <w:spacing w:before="50" w:beforeAutospacing="0" w:after="50" w:afterAutospacing="0" w:line="315" w:lineRule="atLeast"/>
        <w:ind w:left="0" w:right="105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第五条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协会可以组织负面清单评估专家小组对负面清单进行讨论研究，决定调整方案，报中国证券监督管理委员会备案。</w:t>
      </w:r>
    </w:p>
    <w:p>
      <w:pPr>
        <w:keepNext w:val="0"/>
        <w:keepLines w:val="0"/>
        <w:widowControl/>
        <w:suppressLineNumbers w:val="0"/>
        <w:wordWrap w:val="0"/>
        <w:spacing w:before="50" w:beforeAutospacing="0" w:after="50" w:afterAutospacing="0" w:line="315" w:lineRule="atLeast"/>
        <w:ind w:left="0" w:right="105" w:firstLine="482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第六条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本指引由协会负责解释和修订，自发布之日起实施。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70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ヾ左岸の烟づ</cp:lastModifiedBy>
  <dcterms:modified xsi:type="dcterms:W3CDTF">2018-01-04T05:49:14Z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